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40B" w:rsidRDefault="0075540B" w:rsidP="0075540B">
      <w:pPr>
        <w:spacing w:before="100" w:beforeAutospacing="1" w:after="100" w:afterAutospacing="1"/>
        <w:jc w:val="center"/>
        <w:outlineLvl w:val="0"/>
        <w:rPr>
          <w:rFonts w:eastAsia="Times New Roman" w:cs="Times New Roman"/>
          <w:b/>
          <w:bCs/>
          <w:kern w:val="36"/>
          <w:sz w:val="40"/>
          <w:szCs w:val="40"/>
          <w:lang w:eastAsia="en-GB"/>
        </w:rPr>
      </w:pPr>
      <w:r w:rsidRPr="0075540B">
        <w:rPr>
          <w:rFonts w:eastAsia="Times New Roman" w:cs="Times New Roman"/>
          <w:b/>
          <w:bCs/>
          <w:kern w:val="36"/>
          <w:sz w:val="40"/>
          <w:szCs w:val="40"/>
          <w:lang w:eastAsia="en-GB"/>
        </w:rPr>
        <w:t xml:space="preserve">MP calls for Porter explanation on the persecution of K and </w:t>
      </w:r>
      <w:proofErr w:type="spellStart"/>
      <w:r w:rsidRPr="0075540B">
        <w:rPr>
          <w:rFonts w:eastAsia="Times New Roman" w:cs="Times New Roman"/>
          <w:b/>
          <w:bCs/>
          <w:kern w:val="36"/>
          <w:sz w:val="40"/>
          <w:szCs w:val="40"/>
          <w:lang w:eastAsia="en-GB"/>
        </w:rPr>
        <w:t>Collaery</w:t>
      </w:r>
      <w:proofErr w:type="spellEnd"/>
    </w:p>
    <w:p w:rsidR="0075540B" w:rsidRDefault="0075540B" w:rsidP="0075540B">
      <w:pPr>
        <w:spacing w:before="100" w:beforeAutospacing="1" w:after="100" w:afterAutospacing="1"/>
        <w:outlineLvl w:val="0"/>
        <w:rPr>
          <w:rFonts w:eastAsia="Times New Roman" w:cs="Times New Roman"/>
          <w:kern w:val="36"/>
          <w:sz w:val="22"/>
          <w:szCs w:val="22"/>
          <w:lang w:eastAsia="en-GB"/>
        </w:rPr>
      </w:pPr>
      <w:r w:rsidRPr="0075540B">
        <w:rPr>
          <w:rFonts w:eastAsia="Times New Roman" w:cs="Times New Roman"/>
          <w:kern w:val="36"/>
          <w:sz w:val="22"/>
          <w:szCs w:val="22"/>
          <w:lang w:eastAsia="en-GB"/>
        </w:rPr>
        <w:t xml:space="preserve">Bernard Keane </w:t>
      </w:r>
      <w:r w:rsidRPr="0075540B">
        <w:rPr>
          <w:rFonts w:eastAsia="Times New Roman" w:cs="Times New Roman"/>
          <w:i/>
          <w:iCs/>
          <w:kern w:val="36"/>
          <w:sz w:val="22"/>
          <w:szCs w:val="22"/>
          <w:lang w:eastAsia="en-GB"/>
        </w:rPr>
        <w:t xml:space="preserve">– </w:t>
      </w:r>
      <w:r w:rsidRPr="0075540B">
        <w:rPr>
          <w:rFonts w:eastAsia="Times New Roman" w:cs="Times New Roman"/>
          <w:i/>
          <w:iCs/>
          <w:kern w:val="36"/>
          <w:sz w:val="22"/>
          <w:szCs w:val="22"/>
          <w:lang w:eastAsia="en-GB"/>
        </w:rPr>
        <w:softHyphen/>
        <w:t>Crikey –</w:t>
      </w:r>
      <w:r w:rsidRPr="0075540B">
        <w:rPr>
          <w:rFonts w:eastAsia="Times New Roman" w:cs="Times New Roman"/>
          <w:kern w:val="36"/>
          <w:sz w:val="22"/>
          <w:szCs w:val="22"/>
          <w:lang w:eastAsia="en-GB"/>
        </w:rPr>
        <w:t xml:space="preserve"> 26 November 2020</w:t>
      </w:r>
    </w:p>
    <w:p w:rsidR="0075540B" w:rsidRPr="0075540B" w:rsidRDefault="0075540B" w:rsidP="0075540B">
      <w:pPr>
        <w:spacing w:before="100" w:beforeAutospacing="1" w:after="100" w:afterAutospacing="1"/>
        <w:outlineLvl w:val="0"/>
        <w:rPr>
          <w:rFonts w:eastAsia="Times New Roman" w:cs="Times New Roman"/>
          <w:kern w:val="36"/>
          <w:sz w:val="22"/>
          <w:szCs w:val="22"/>
          <w:lang w:eastAsia="en-GB"/>
        </w:rPr>
      </w:pPr>
      <w:hyperlink r:id="rId7" w:history="1">
        <w:r w:rsidRPr="00734AFD">
          <w:rPr>
            <w:rStyle w:val="Hyperlink"/>
            <w:rFonts w:eastAsia="Times New Roman" w:cs="Times New Roman"/>
            <w:kern w:val="36"/>
            <w:sz w:val="22"/>
            <w:szCs w:val="22"/>
            <w:lang w:eastAsia="en-GB"/>
          </w:rPr>
          <w:t>https://www.crikey.com.au/2020/11/26/labor-mp-gosling-witness-k-case/</w:t>
        </w:r>
      </w:hyperlink>
    </w:p>
    <w:p w:rsidR="0075540B" w:rsidRPr="0075540B" w:rsidRDefault="0075540B" w:rsidP="0075540B">
      <w:pPr>
        <w:spacing w:before="100" w:beforeAutospacing="1" w:after="100" w:afterAutospacing="1"/>
        <w:rPr>
          <w:rFonts w:eastAsia="Times New Roman" w:cs="Times New Roman"/>
          <w:i/>
          <w:iCs/>
          <w:sz w:val="22"/>
          <w:szCs w:val="22"/>
          <w:lang w:eastAsia="en-GB"/>
        </w:rPr>
      </w:pPr>
      <w:r w:rsidRPr="0075540B">
        <w:rPr>
          <w:rFonts w:eastAsia="Times New Roman" w:cs="Times New Roman"/>
          <w:i/>
          <w:iCs/>
          <w:sz w:val="22"/>
          <w:szCs w:val="22"/>
          <w:lang w:eastAsia="en-GB"/>
        </w:rPr>
        <w:t xml:space="preserve">A </w:t>
      </w:r>
      <w:proofErr w:type="spellStart"/>
      <w:r w:rsidRPr="0075540B">
        <w:rPr>
          <w:rFonts w:eastAsia="Times New Roman" w:cs="Times New Roman"/>
          <w:i/>
          <w:iCs/>
          <w:sz w:val="22"/>
          <w:szCs w:val="22"/>
          <w:lang w:eastAsia="en-GB"/>
        </w:rPr>
        <w:t>Labor</w:t>
      </w:r>
      <w:proofErr w:type="spellEnd"/>
      <w:r w:rsidRPr="0075540B">
        <w:rPr>
          <w:rFonts w:eastAsia="Times New Roman" w:cs="Times New Roman"/>
          <w:i/>
          <w:iCs/>
          <w:sz w:val="22"/>
          <w:szCs w:val="22"/>
          <w:lang w:eastAsia="en-GB"/>
        </w:rPr>
        <w:t xml:space="preserve"> MP with close links to Timor-Leste has called on Christian Porter to explain himself over the prosecution of Witness K and Bernard </w:t>
      </w:r>
      <w:proofErr w:type="spellStart"/>
      <w:r w:rsidRPr="0075540B">
        <w:rPr>
          <w:rFonts w:eastAsia="Times New Roman" w:cs="Times New Roman"/>
          <w:i/>
          <w:iCs/>
          <w:sz w:val="22"/>
          <w:szCs w:val="22"/>
          <w:lang w:eastAsia="en-GB"/>
        </w:rPr>
        <w:t>Collaery</w:t>
      </w:r>
      <w:proofErr w:type="spellEnd"/>
      <w:r w:rsidRPr="0075540B">
        <w:rPr>
          <w:rFonts w:eastAsia="Times New Roman" w:cs="Times New Roman"/>
          <w:i/>
          <w:iCs/>
          <w:sz w:val="22"/>
          <w:szCs w:val="22"/>
          <w:lang w:eastAsia="en-GB"/>
        </w:rPr>
        <w:t xml:space="preserve"> and suggests 'reputational protection' is behind the secrecy of the trial.</w:t>
      </w:r>
    </w:p>
    <w:p w:rsidR="0075540B" w:rsidRPr="0075540B" w:rsidRDefault="0075540B" w:rsidP="0075540B">
      <w:pPr>
        <w:spacing w:before="100" w:beforeAutospacing="1" w:after="100" w:afterAutospacing="1"/>
        <w:rPr>
          <w:rFonts w:eastAsia="Times New Roman" w:cs="Times New Roman"/>
          <w:sz w:val="22"/>
          <w:szCs w:val="22"/>
          <w:lang w:eastAsia="en-GB"/>
        </w:rPr>
      </w:pPr>
      <w:proofErr w:type="spellStart"/>
      <w:r w:rsidRPr="0075540B">
        <w:rPr>
          <w:rFonts w:eastAsia="Times New Roman" w:cs="Times New Roman"/>
          <w:sz w:val="22"/>
          <w:szCs w:val="22"/>
          <w:lang w:eastAsia="en-GB"/>
        </w:rPr>
        <w:t>Labor</w:t>
      </w:r>
      <w:proofErr w:type="spellEnd"/>
      <w:r w:rsidRPr="0075540B">
        <w:rPr>
          <w:rFonts w:eastAsia="Times New Roman" w:cs="Times New Roman"/>
          <w:sz w:val="22"/>
          <w:szCs w:val="22"/>
          <w:lang w:eastAsia="en-GB"/>
        </w:rPr>
        <w:t xml:space="preserve"> MP Luke Gosling has called on Attorney-General Christian Porter to explain why his prosecution of Witness K and Bernard </w:t>
      </w:r>
      <w:proofErr w:type="spellStart"/>
      <w:r w:rsidRPr="0075540B">
        <w:rPr>
          <w:rFonts w:eastAsia="Times New Roman" w:cs="Times New Roman"/>
          <w:sz w:val="22"/>
          <w:szCs w:val="22"/>
          <w:lang w:eastAsia="en-GB"/>
        </w:rPr>
        <w:t>Collaery</w:t>
      </w:r>
      <w:proofErr w:type="spellEnd"/>
      <w:r w:rsidRPr="0075540B">
        <w:rPr>
          <w:rFonts w:eastAsia="Times New Roman" w:cs="Times New Roman"/>
          <w:sz w:val="22"/>
          <w:szCs w:val="22"/>
          <w:lang w:eastAsia="en-GB"/>
        </w:rPr>
        <w:t xml:space="preserve"> is in the public interest, and says the government has missed an opportunity to put its poor treatment of Timor-Leste in the past.</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The Northern Territory MP has extensive links with the country after serving there while in the ADF and spending several years there running an NGO.</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Earlier in the year, Gosling </w:t>
      </w:r>
      <w:hyperlink r:id="rId8" w:tgtFrame="_blank" w:history="1">
        <w:r w:rsidRPr="0075540B">
          <w:rPr>
            <w:rFonts w:eastAsia="Times New Roman" w:cs="Times New Roman"/>
            <w:color w:val="0000FF"/>
            <w:sz w:val="22"/>
            <w:szCs w:val="22"/>
            <w:u w:val="single"/>
            <w:lang w:eastAsia="en-GB"/>
          </w:rPr>
          <w:t>criticised</w:t>
        </w:r>
      </w:hyperlink>
      <w:r w:rsidRPr="0075540B">
        <w:rPr>
          <w:rFonts w:eastAsia="Times New Roman" w:cs="Times New Roman"/>
          <w:sz w:val="22"/>
          <w:szCs w:val="22"/>
          <w:lang w:eastAsia="en-GB"/>
        </w:rPr>
        <w:t xml:space="preserve"> Porter’s attempt to prosecute K and </w:t>
      </w:r>
      <w:proofErr w:type="spellStart"/>
      <w:r w:rsidRPr="0075540B">
        <w:rPr>
          <w:rFonts w:eastAsia="Times New Roman" w:cs="Times New Roman"/>
          <w:sz w:val="22"/>
          <w:szCs w:val="22"/>
          <w:lang w:eastAsia="en-GB"/>
        </w:rPr>
        <w:t>Collaery</w:t>
      </w:r>
      <w:proofErr w:type="spellEnd"/>
      <w:r w:rsidRPr="0075540B">
        <w:rPr>
          <w:rFonts w:eastAsia="Times New Roman" w:cs="Times New Roman"/>
          <w:sz w:val="22"/>
          <w:szCs w:val="22"/>
          <w:lang w:eastAsia="en-GB"/>
        </w:rPr>
        <w:t xml:space="preserve"> in a secret trial, but now says Porter must make up for his failure to explain why he is pursuing the two men.</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“Porter is yet to provide a detailed explanation for his decision to prosecute Witness K and </w:t>
      </w:r>
      <w:proofErr w:type="spellStart"/>
      <w:r w:rsidRPr="0075540B">
        <w:rPr>
          <w:rFonts w:eastAsia="Times New Roman" w:cs="Times New Roman"/>
          <w:sz w:val="22"/>
          <w:szCs w:val="22"/>
          <w:lang w:eastAsia="en-GB"/>
        </w:rPr>
        <w:t>Collaery</w:t>
      </w:r>
      <w:proofErr w:type="spellEnd"/>
      <w:r w:rsidRPr="0075540B">
        <w:rPr>
          <w:rFonts w:eastAsia="Times New Roman" w:cs="Times New Roman"/>
          <w:sz w:val="22"/>
          <w:szCs w:val="22"/>
          <w:lang w:eastAsia="en-GB"/>
        </w:rPr>
        <w:t xml:space="preserve">, to spell out why this action is in the public interest,” Gosling told </w:t>
      </w:r>
      <w:r w:rsidRPr="0075540B">
        <w:rPr>
          <w:rFonts w:eastAsia="Times New Roman" w:cs="Times New Roman"/>
          <w:i/>
          <w:iCs/>
          <w:sz w:val="22"/>
          <w:szCs w:val="22"/>
          <w:lang w:eastAsia="en-GB"/>
        </w:rPr>
        <w:t>Crikey</w:t>
      </w:r>
      <w:r w:rsidRPr="0075540B">
        <w:rPr>
          <w:rFonts w:eastAsia="Times New Roman" w:cs="Times New Roman"/>
          <w:sz w:val="22"/>
          <w:szCs w:val="22"/>
          <w:lang w:eastAsia="en-GB"/>
        </w:rPr>
        <w:t xml:space="preserve">. “If the government really cares about transparency and accountability, there’s a very easy place to start: just be upfront with Australians. They can handle it. So can our relationship with Timor </w:t>
      </w:r>
      <w:proofErr w:type="spellStart"/>
      <w:r w:rsidRPr="0075540B">
        <w:rPr>
          <w:rFonts w:eastAsia="Times New Roman" w:cs="Times New Roman"/>
          <w:sz w:val="22"/>
          <w:szCs w:val="22"/>
          <w:lang w:eastAsia="en-GB"/>
        </w:rPr>
        <w:t>Leste</w:t>
      </w:r>
      <w:proofErr w:type="spellEnd"/>
      <w:r w:rsidRPr="0075540B">
        <w:rPr>
          <w:rFonts w:eastAsia="Times New Roman" w:cs="Times New Roman"/>
          <w:sz w:val="22"/>
          <w:szCs w:val="22"/>
          <w:lang w:eastAsia="en-GB"/>
        </w:rPr>
        <w:t>. The bonds between ordinary Australians and Timorese have never wavered.”</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“In choosing to prosecute them, Porter decided in six months to do what his predecessor, George Brandis, chose not to do in his entire term. But the reasons for prosecuting these two Australians — the real reasons — are crucial details this government is being uncharacteristically silent about.”</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Gosling viewed the settlement of the maritime border dispute between Australia and Timor-Leste in 2018 — after the Timorese initiated a case against Australia at the International Court of Justice — as a chance to reset relations. It’s an opportunity the government missed, he says. </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“We had an opportunity to move on from the past after settling the maritime issue. It was a difficult period — we could have put it to bed. But the cover-up of previous incidents continues.”</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Gosling has worked in Timor-Leste at the highest and most grassroots levels. After military service there, he produced the film </w:t>
      </w:r>
      <w:r w:rsidRPr="0075540B">
        <w:rPr>
          <w:rFonts w:eastAsia="Times New Roman" w:cs="Times New Roman"/>
          <w:i/>
          <w:iCs/>
          <w:sz w:val="22"/>
          <w:szCs w:val="22"/>
          <w:lang w:eastAsia="en-GB"/>
        </w:rPr>
        <w:t>A Debt of Honour</w:t>
      </w:r>
      <w:r w:rsidRPr="0075540B">
        <w:rPr>
          <w:rFonts w:eastAsia="Times New Roman" w:cs="Times New Roman"/>
          <w:sz w:val="22"/>
          <w:szCs w:val="22"/>
          <w:lang w:eastAsia="en-GB"/>
        </w:rPr>
        <w:t xml:space="preserve"> detailing the experience of Australian soldiers in the INTERFET Timor-Leste mission and that of Australian commandoes operating under Japanese occupation there during WWII. During that time he met </w:t>
      </w:r>
      <w:proofErr w:type="spellStart"/>
      <w:r w:rsidRPr="0075540B">
        <w:rPr>
          <w:rFonts w:eastAsia="Times New Roman" w:cs="Times New Roman"/>
          <w:sz w:val="22"/>
          <w:szCs w:val="22"/>
          <w:lang w:eastAsia="en-GB"/>
        </w:rPr>
        <w:t>Collaery</w:t>
      </w:r>
      <w:proofErr w:type="spellEnd"/>
      <w:r w:rsidRPr="0075540B">
        <w:rPr>
          <w:rFonts w:eastAsia="Times New Roman" w:cs="Times New Roman"/>
          <w:sz w:val="22"/>
          <w:szCs w:val="22"/>
          <w:lang w:eastAsia="en-GB"/>
        </w:rPr>
        <w:t xml:space="preserve"> and popular leader Xanana </w:t>
      </w:r>
      <w:proofErr w:type="spellStart"/>
      <w:r w:rsidRPr="0075540B">
        <w:rPr>
          <w:rFonts w:eastAsia="Times New Roman" w:cs="Times New Roman"/>
          <w:sz w:val="22"/>
          <w:szCs w:val="22"/>
          <w:lang w:eastAsia="en-GB"/>
        </w:rPr>
        <w:t>Gusmao</w:t>
      </w:r>
      <w:proofErr w:type="spellEnd"/>
      <w:r w:rsidRPr="0075540B">
        <w:rPr>
          <w:rFonts w:eastAsia="Times New Roman" w:cs="Times New Roman"/>
          <w:sz w:val="22"/>
          <w:szCs w:val="22"/>
          <w:lang w:eastAsia="en-GB"/>
        </w:rPr>
        <w:t xml:space="preserve"> before returning as an ADF defence advisor to the new country’s military in 2005.</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In between, he built schools, provided water to remote villages and helped deliver maternal health services — though, he says, he doesn’t want to overstate his work. He continues to try to help the country via seasonal worker programs, defence cooperation and his links with the Darwin Timorese diaspora. The K/</w:t>
      </w:r>
      <w:proofErr w:type="spellStart"/>
      <w:r w:rsidRPr="0075540B">
        <w:rPr>
          <w:rFonts w:eastAsia="Times New Roman" w:cs="Times New Roman"/>
          <w:sz w:val="22"/>
          <w:szCs w:val="22"/>
          <w:lang w:eastAsia="en-GB"/>
        </w:rPr>
        <w:t>Collaery</w:t>
      </w:r>
      <w:proofErr w:type="spellEnd"/>
      <w:r w:rsidRPr="0075540B">
        <w:rPr>
          <w:rFonts w:eastAsia="Times New Roman" w:cs="Times New Roman"/>
          <w:sz w:val="22"/>
          <w:szCs w:val="22"/>
          <w:lang w:eastAsia="en-GB"/>
        </w:rPr>
        <w:t xml:space="preserve"> case, he says, “has stirred up a lot of hurt for many Timorese and Australians alike”.</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On the case itself, Gosling chooses his words carefully, declining to comment on the bugging or the circumstances in which Witness K revealed it. But the secrecy of the trial appals him. </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lastRenderedPageBreak/>
        <w:t>“I understand the need for national security and the secrecy it involves, but it should be a last resort,” he said. “To what extent is this national security, and to what extent reputational protection by Porter?”</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He points out the Law Council has reminded the government that open justice is a basic rule of Australian society and that secrecy “stacks the deck” against the defendants.</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“When a law is unjust, free citizens have a right — in fact, a duty — to dissent, to protest, to organise, and to express their will at the ballot box. And if any of them are accused of breaking the law, they have the right to an open trial, which also exists to protect our legal system from becoming simply a politicised kangaroo court.</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sz w:val="22"/>
          <w:szCs w:val="22"/>
          <w:lang w:eastAsia="en-GB"/>
        </w:rPr>
        <w:t xml:space="preserve">“The </w:t>
      </w:r>
      <w:r w:rsidRPr="0075540B">
        <w:rPr>
          <w:rFonts w:eastAsia="Times New Roman" w:cs="Times New Roman"/>
          <w:i/>
          <w:iCs/>
          <w:sz w:val="22"/>
          <w:szCs w:val="22"/>
          <w:lang w:eastAsia="en-GB"/>
        </w:rPr>
        <w:t xml:space="preserve">Washington Post’s </w:t>
      </w:r>
      <w:r w:rsidRPr="0075540B">
        <w:rPr>
          <w:rFonts w:eastAsia="Times New Roman" w:cs="Times New Roman"/>
          <w:sz w:val="22"/>
          <w:szCs w:val="22"/>
          <w:lang w:eastAsia="en-GB"/>
        </w:rPr>
        <w:t>motto is true on both sides of the Pacific,” Gosling warnings. “’Democracy dies in darkness’. We need to start rebuilding the ethical infrastructure of our nation.”</w:t>
      </w:r>
    </w:p>
    <w:p w:rsidR="0075540B" w:rsidRPr="0075540B" w:rsidRDefault="0075540B" w:rsidP="0075540B">
      <w:pPr>
        <w:spacing w:before="100" w:beforeAutospacing="1" w:after="100" w:afterAutospacing="1"/>
        <w:rPr>
          <w:rFonts w:eastAsia="Times New Roman" w:cs="Times New Roman"/>
          <w:sz w:val="22"/>
          <w:szCs w:val="22"/>
          <w:lang w:eastAsia="en-GB"/>
        </w:rPr>
      </w:pPr>
      <w:r w:rsidRPr="0075540B">
        <w:rPr>
          <w:rFonts w:eastAsia="Times New Roman" w:cs="Times New Roman"/>
          <w:i/>
          <w:iCs/>
          <w:sz w:val="22"/>
          <w:szCs w:val="22"/>
          <w:lang w:eastAsia="en-GB"/>
        </w:rPr>
        <w:t>Let us know your thoughts by writing to </w:t>
      </w:r>
      <w:hyperlink r:id="rId9" w:tgtFrame="_blank" w:history="1">
        <w:r w:rsidRPr="0075540B">
          <w:rPr>
            <w:rFonts w:eastAsia="Times New Roman" w:cs="Times New Roman"/>
            <w:i/>
            <w:iCs/>
            <w:color w:val="0000FF"/>
            <w:sz w:val="22"/>
            <w:szCs w:val="22"/>
            <w:u w:val="single"/>
            <w:lang w:eastAsia="en-GB"/>
          </w:rPr>
          <w:t>letters@crikey.com.au</w:t>
        </w:r>
      </w:hyperlink>
      <w:r w:rsidRPr="0075540B">
        <w:rPr>
          <w:rFonts w:eastAsia="Times New Roman" w:cs="Times New Roman"/>
          <w:i/>
          <w:iCs/>
          <w:sz w:val="22"/>
          <w:szCs w:val="22"/>
          <w:lang w:eastAsia="en-GB"/>
        </w:rPr>
        <w:t>. Please include your full name to be considered for publication in </w:t>
      </w:r>
      <w:proofErr w:type="spellStart"/>
      <w:r w:rsidRPr="0075540B">
        <w:rPr>
          <w:rFonts w:eastAsia="Times New Roman" w:cs="Times New Roman"/>
          <w:sz w:val="22"/>
          <w:szCs w:val="22"/>
          <w:lang w:eastAsia="en-GB"/>
        </w:rPr>
        <w:t>Crikey’s</w:t>
      </w:r>
      <w:proofErr w:type="spellEnd"/>
      <w:r w:rsidRPr="0075540B">
        <w:rPr>
          <w:rFonts w:eastAsia="Times New Roman" w:cs="Times New Roman"/>
          <w:sz w:val="22"/>
          <w:szCs w:val="22"/>
          <w:lang w:eastAsia="en-GB"/>
        </w:rPr>
        <w:t> </w:t>
      </w:r>
      <w:r w:rsidRPr="0075540B">
        <w:rPr>
          <w:rFonts w:eastAsia="Times New Roman" w:cs="Times New Roman"/>
          <w:i/>
          <w:iCs/>
          <w:sz w:val="22"/>
          <w:szCs w:val="22"/>
          <w:lang w:eastAsia="en-GB"/>
        </w:rPr>
        <w:t>Your Say section</w:t>
      </w:r>
      <w:r w:rsidRPr="0075540B">
        <w:rPr>
          <w:rFonts w:eastAsia="Times New Roman" w:cs="Times New Roman"/>
          <w:sz w:val="22"/>
          <w:szCs w:val="22"/>
          <w:lang w:eastAsia="en-GB"/>
        </w:rPr>
        <w:t>.</w:t>
      </w:r>
    </w:p>
    <w:p w:rsidR="00146E19" w:rsidRPr="0075540B" w:rsidRDefault="00803E0D">
      <w:pPr>
        <w:rPr>
          <w:sz w:val="22"/>
          <w:szCs w:val="22"/>
        </w:rPr>
      </w:pPr>
    </w:p>
    <w:sectPr w:rsidR="00146E19" w:rsidRPr="0075540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E0D" w:rsidRDefault="00803E0D" w:rsidP="0075540B">
      <w:r>
        <w:separator/>
      </w:r>
    </w:p>
  </w:endnote>
  <w:endnote w:type="continuationSeparator" w:id="0">
    <w:p w:rsidR="00803E0D" w:rsidRDefault="00803E0D" w:rsidP="0075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0921239"/>
      <w:docPartObj>
        <w:docPartGallery w:val="Page Numbers (Bottom of Page)"/>
        <w:docPartUnique/>
      </w:docPartObj>
    </w:sdtPr>
    <w:sdtContent>
      <w:p w:rsidR="0075540B" w:rsidRDefault="0075540B" w:rsidP="00734A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540B" w:rsidRDefault="0075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42567"/>
      <w:docPartObj>
        <w:docPartGallery w:val="Page Numbers (Bottom of Page)"/>
        <w:docPartUnique/>
      </w:docPartObj>
    </w:sdtPr>
    <w:sdtContent>
      <w:p w:rsidR="0075540B" w:rsidRDefault="0075540B" w:rsidP="00734A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540B" w:rsidRDefault="0075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E0D" w:rsidRDefault="00803E0D" w:rsidP="0075540B">
      <w:r>
        <w:separator/>
      </w:r>
    </w:p>
  </w:footnote>
  <w:footnote w:type="continuationSeparator" w:id="0">
    <w:p w:rsidR="00803E0D" w:rsidRDefault="00803E0D" w:rsidP="0075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26A3B"/>
    <w:multiLevelType w:val="multilevel"/>
    <w:tmpl w:val="5F1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0B"/>
    <w:rsid w:val="002950FC"/>
    <w:rsid w:val="003E2A5A"/>
    <w:rsid w:val="0075540B"/>
    <w:rsid w:val="00803E0D"/>
    <w:rsid w:val="00EA6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A8559A"/>
  <w15:chartTrackingRefBased/>
  <w15:docId w15:val="{FEBC45EC-A08B-A144-A3C9-0A2BFB65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540B"/>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40B"/>
    <w:rPr>
      <w:rFonts w:eastAsia="Times New Roman" w:cs="Times New Roman"/>
      <w:b/>
      <w:bCs/>
      <w:kern w:val="36"/>
      <w:sz w:val="48"/>
      <w:szCs w:val="48"/>
      <w:lang w:eastAsia="en-GB"/>
    </w:rPr>
  </w:style>
  <w:style w:type="paragraph" w:customStyle="1" w:styleId="intro">
    <w:name w:val="intro"/>
    <w:basedOn w:val="Normal"/>
    <w:rsid w:val="0075540B"/>
    <w:pPr>
      <w:spacing w:before="100" w:beforeAutospacing="1" w:after="100" w:afterAutospacing="1"/>
    </w:pPr>
    <w:rPr>
      <w:rFonts w:eastAsia="Times New Roman" w:cs="Times New Roman"/>
      <w:lang w:eastAsia="en-GB"/>
    </w:rPr>
  </w:style>
  <w:style w:type="paragraph" w:customStyle="1" w:styleId="authorname">
    <w:name w:val="author__name"/>
    <w:basedOn w:val="Normal"/>
    <w:rsid w:val="0075540B"/>
    <w:pPr>
      <w:spacing w:before="100" w:beforeAutospacing="1" w:after="100" w:afterAutospacing="1"/>
    </w:pPr>
    <w:rPr>
      <w:rFonts w:eastAsia="Times New Roman" w:cs="Times New Roman"/>
      <w:lang w:eastAsia="en-GB"/>
    </w:rPr>
  </w:style>
  <w:style w:type="character" w:customStyle="1" w:styleId="authorcontainer">
    <w:name w:val="author_container"/>
    <w:basedOn w:val="DefaultParagraphFont"/>
    <w:rsid w:val="0075540B"/>
  </w:style>
  <w:style w:type="character" w:styleId="Hyperlink">
    <w:name w:val="Hyperlink"/>
    <w:basedOn w:val="DefaultParagraphFont"/>
    <w:uiPriority w:val="99"/>
    <w:unhideWhenUsed/>
    <w:rsid w:val="0075540B"/>
    <w:rPr>
      <w:color w:val="0000FF"/>
      <w:u w:val="single"/>
    </w:rPr>
  </w:style>
  <w:style w:type="paragraph" w:customStyle="1" w:styleId="date">
    <w:name w:val="date"/>
    <w:basedOn w:val="Normal"/>
    <w:rsid w:val="0075540B"/>
    <w:pPr>
      <w:spacing w:before="100" w:beforeAutospacing="1" w:after="100" w:afterAutospacing="1"/>
    </w:pPr>
    <w:rPr>
      <w:rFonts w:eastAsia="Times New Roman" w:cs="Times New Roman"/>
      <w:lang w:eastAsia="en-GB"/>
    </w:rPr>
  </w:style>
  <w:style w:type="paragraph" w:customStyle="1" w:styleId="comments">
    <w:name w:val="comments"/>
    <w:basedOn w:val="Normal"/>
    <w:rsid w:val="0075540B"/>
    <w:pPr>
      <w:spacing w:before="100" w:beforeAutospacing="1" w:after="100" w:afterAutospacing="1"/>
    </w:pPr>
    <w:rPr>
      <w:rFonts w:eastAsia="Times New Roman" w:cs="Times New Roman"/>
      <w:lang w:eastAsia="en-GB"/>
    </w:rPr>
  </w:style>
  <w:style w:type="paragraph" w:styleId="NormalWeb">
    <w:name w:val="Normal (Web)"/>
    <w:basedOn w:val="Normal"/>
    <w:uiPriority w:val="99"/>
    <w:semiHidden/>
    <w:unhideWhenUsed/>
    <w:rsid w:val="0075540B"/>
    <w:pPr>
      <w:spacing w:before="100" w:beforeAutospacing="1" w:after="100" w:afterAutospacing="1"/>
    </w:pPr>
    <w:rPr>
      <w:rFonts w:eastAsia="Times New Roman" w:cs="Times New Roman"/>
      <w:lang w:eastAsia="en-GB"/>
    </w:rPr>
  </w:style>
  <w:style w:type="character" w:styleId="Emphasis">
    <w:name w:val="Emphasis"/>
    <w:basedOn w:val="DefaultParagraphFont"/>
    <w:uiPriority w:val="20"/>
    <w:qFormat/>
    <w:rsid w:val="0075540B"/>
    <w:rPr>
      <w:i/>
      <w:iCs/>
    </w:rPr>
  </w:style>
  <w:style w:type="character" w:styleId="UnresolvedMention">
    <w:name w:val="Unresolved Mention"/>
    <w:basedOn w:val="DefaultParagraphFont"/>
    <w:uiPriority w:val="99"/>
    <w:semiHidden/>
    <w:unhideWhenUsed/>
    <w:rsid w:val="0075540B"/>
    <w:rPr>
      <w:color w:val="605E5C"/>
      <w:shd w:val="clear" w:color="auto" w:fill="E1DFDD"/>
    </w:rPr>
  </w:style>
  <w:style w:type="paragraph" w:styleId="Footer">
    <w:name w:val="footer"/>
    <w:basedOn w:val="Normal"/>
    <w:link w:val="FooterChar"/>
    <w:uiPriority w:val="99"/>
    <w:unhideWhenUsed/>
    <w:rsid w:val="0075540B"/>
    <w:pPr>
      <w:tabs>
        <w:tab w:val="center" w:pos="4513"/>
        <w:tab w:val="right" w:pos="9026"/>
      </w:tabs>
    </w:pPr>
  </w:style>
  <w:style w:type="character" w:customStyle="1" w:styleId="FooterChar">
    <w:name w:val="Footer Char"/>
    <w:basedOn w:val="DefaultParagraphFont"/>
    <w:link w:val="Footer"/>
    <w:uiPriority w:val="99"/>
    <w:rsid w:val="0075540B"/>
  </w:style>
  <w:style w:type="character" w:styleId="PageNumber">
    <w:name w:val="page number"/>
    <w:basedOn w:val="DefaultParagraphFont"/>
    <w:uiPriority w:val="99"/>
    <w:semiHidden/>
    <w:unhideWhenUsed/>
    <w:rsid w:val="0075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05231303">
          <w:marLeft w:val="0"/>
          <w:marRight w:val="0"/>
          <w:marTop w:val="0"/>
          <w:marBottom w:val="0"/>
          <w:divBdr>
            <w:top w:val="none" w:sz="0" w:space="0" w:color="auto"/>
            <w:left w:val="none" w:sz="0" w:space="0" w:color="auto"/>
            <w:bottom w:val="none" w:sz="0" w:space="0" w:color="auto"/>
            <w:right w:val="none" w:sz="0" w:space="0" w:color="auto"/>
          </w:divBdr>
          <w:divsChild>
            <w:div w:id="1013260141">
              <w:marLeft w:val="0"/>
              <w:marRight w:val="0"/>
              <w:marTop w:val="0"/>
              <w:marBottom w:val="0"/>
              <w:divBdr>
                <w:top w:val="none" w:sz="0" w:space="0" w:color="auto"/>
                <w:left w:val="none" w:sz="0" w:space="0" w:color="auto"/>
                <w:bottom w:val="none" w:sz="0" w:space="0" w:color="auto"/>
                <w:right w:val="none" w:sz="0" w:space="0" w:color="auto"/>
              </w:divBdr>
            </w:div>
          </w:divsChild>
        </w:div>
        <w:div w:id="400828865">
          <w:marLeft w:val="0"/>
          <w:marRight w:val="0"/>
          <w:marTop w:val="0"/>
          <w:marBottom w:val="0"/>
          <w:divBdr>
            <w:top w:val="none" w:sz="0" w:space="0" w:color="auto"/>
            <w:left w:val="none" w:sz="0" w:space="0" w:color="auto"/>
            <w:bottom w:val="none" w:sz="0" w:space="0" w:color="auto"/>
            <w:right w:val="none" w:sz="0" w:space="0" w:color="auto"/>
          </w:divBdr>
        </w:div>
        <w:div w:id="1219827047">
          <w:marLeft w:val="0"/>
          <w:marRight w:val="0"/>
          <w:marTop w:val="0"/>
          <w:marBottom w:val="0"/>
          <w:divBdr>
            <w:top w:val="none" w:sz="0" w:space="0" w:color="auto"/>
            <w:left w:val="none" w:sz="0" w:space="0" w:color="auto"/>
            <w:bottom w:val="none" w:sz="0" w:space="0" w:color="auto"/>
            <w:right w:val="none" w:sz="0" w:space="0" w:color="auto"/>
          </w:divBdr>
        </w:div>
        <w:div w:id="79634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0/jul/06/the-secrecy-in-the-witness-k-case-is-an-attempt-by-the-government-to-avoid-scruti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ikey.com.au/2020/11/26/labor-mp-gosling-witness-k-c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tters@crike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Connelly</dc:creator>
  <cp:keywords/>
  <dc:description/>
  <cp:lastModifiedBy>Susan Connelly</cp:lastModifiedBy>
  <cp:revision>1</cp:revision>
  <dcterms:created xsi:type="dcterms:W3CDTF">2020-11-26T06:19:00Z</dcterms:created>
  <dcterms:modified xsi:type="dcterms:W3CDTF">2020-11-26T06:22:00Z</dcterms:modified>
</cp:coreProperties>
</file>